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EBB1D2F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7C52E7">
              <w:rPr>
                <w:bCs/>
                <w:kern w:val="24"/>
                <w:sz w:val="22"/>
                <w:szCs w:val="22"/>
              </w:rPr>
              <w:t>65741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7C52E7">
              <w:rPr>
                <w:bCs/>
                <w:sz w:val="22"/>
                <w:szCs w:val="22"/>
                <w:shd w:val="clear" w:color="auto" w:fill="FFFFFF"/>
              </w:rPr>
              <w:t>07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A41815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7C52E7">
              <w:rPr>
                <w:i/>
                <w:sz w:val="22"/>
                <w:szCs w:val="22"/>
              </w:rPr>
              <w:t>3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7C52E7">
              <w:rPr>
                <w:i/>
                <w:sz w:val="22"/>
                <w:szCs w:val="22"/>
              </w:rPr>
              <w:t>4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34172B1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 prot.</w:t>
            </w:r>
            <w:r w:rsidR="007C52E7">
              <w:rPr>
                <w:rFonts w:ascii="Times New Roman" w:hAnsi="Times New Roman" w:cs="Times New Roman"/>
              </w:rPr>
              <w:t xml:space="preserve"> AOODRCA R.U.U. </w:t>
            </w:r>
            <w:r w:rsidR="00A41815">
              <w:rPr>
                <w:rFonts w:ascii="Times New Roman" w:hAnsi="Times New Roman" w:cs="Times New Roman"/>
              </w:rPr>
              <w:t>55590</w:t>
            </w:r>
            <w:r w:rsidRPr="00E13F25">
              <w:rPr>
                <w:rFonts w:ascii="Times New Roman" w:hAnsi="Times New Roman" w:cs="Times New Roman"/>
              </w:rPr>
              <w:t xml:space="preserve"> </w:t>
            </w:r>
            <w:r w:rsidR="00A41815">
              <w:rPr>
                <w:rFonts w:ascii="Times New Roman" w:hAnsi="Times New Roman" w:cs="Times New Roman"/>
              </w:rPr>
              <w:t xml:space="preserve">del 28.11.2023,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4CBCAEE7" w14:textId="10325A53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7C52E7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7C52E7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1745C3DB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A41815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A41815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lastRenderedPageBreak/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5B9225F0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 xml:space="preserve">, in coerenza con le priorità per la formazione di cui alla citata nota ministeriale prot. </w:t>
      </w:r>
      <w:r w:rsidR="00665FE2">
        <w:rPr>
          <w:rFonts w:ascii="Times New Roman" w:eastAsia="Century" w:hAnsi="Times New Roman" w:cs="Times New Roman"/>
        </w:rPr>
        <w:t>65741</w:t>
      </w:r>
      <w:r>
        <w:rPr>
          <w:rFonts w:ascii="Times New Roman" w:eastAsia="Century" w:hAnsi="Times New Roman" w:cs="Times New Roman"/>
        </w:rPr>
        <w:t xml:space="preserve"> del </w:t>
      </w:r>
      <w:r w:rsidR="00665FE2">
        <w:rPr>
          <w:rFonts w:ascii="Times New Roman" w:eastAsia="Century" w:hAnsi="Times New Roman" w:cs="Times New Roman"/>
        </w:rPr>
        <w:t>07</w:t>
      </w:r>
      <w:r>
        <w:rPr>
          <w:rFonts w:ascii="Times New Roman" w:eastAsia="Century" w:hAnsi="Times New Roman" w:cs="Times New Roman"/>
        </w:rPr>
        <w:t>.11.202</w:t>
      </w:r>
      <w:r w:rsidR="000F069E">
        <w:rPr>
          <w:rFonts w:ascii="Times New Roman" w:eastAsia="Century" w:hAnsi="Times New Roman" w:cs="Times New Roman"/>
        </w:rPr>
        <w:t>3</w:t>
      </w:r>
      <w:r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26A9E77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attività di orientamento; ruolo dei docenti tutor e orientatore (nei percorsi di istruzione secondaria); </w:t>
      </w:r>
    </w:p>
    <w:p w14:paraId="5F21F9D4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delle attività didattiche in situazioni di emergenza;</w:t>
      </w:r>
    </w:p>
    <w:p w14:paraId="357A10EF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tecnologie della didattica digitale e loro integrazione nel curricolo;</w:t>
      </w:r>
    </w:p>
    <w:p w14:paraId="26E86F4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ampliamento e consolidamento delle competenze digitali dei docenti;</w:t>
      </w:r>
    </w:p>
    <w:p w14:paraId="3E01B116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inclusione sociale e dinamiche interculturali;</w:t>
      </w:r>
    </w:p>
    <w:p w14:paraId="61F37EF8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bisogni educativi speciali; </w:t>
      </w:r>
    </w:p>
    <w:p w14:paraId="555AD219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innovazione della didattica delle discipline e motivazione all’apprendimento;</w:t>
      </w:r>
    </w:p>
    <w:p w14:paraId="183AF96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buone pratiche di didattiche disciplinari;</w:t>
      </w:r>
    </w:p>
    <w:p w14:paraId="297EA29C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dinamiche relazionali, con particolare riferimento alla prevenzione dei fenomeni di violenza, bullismo e cyberbullismo, discriminazioni;</w:t>
      </w:r>
    </w:p>
    <w:p w14:paraId="7A310B5E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percorsi per competenze relazionali e trasversali;</w:t>
      </w:r>
    </w:p>
    <w:p w14:paraId="468E070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contrasto alla dispersione scolastica;</w:t>
      </w:r>
    </w:p>
    <w:p w14:paraId="51B0E811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lastRenderedPageBreak/>
        <w:t xml:space="preserve"> insegnamento di educazione civica con particolare riferimento alla prevenzione e al contrasto delle dipendenze;</w:t>
      </w:r>
    </w:p>
    <w:p w14:paraId="0AC3C16D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didattica degli apprendimenti; </w:t>
      </w:r>
    </w:p>
    <w:p w14:paraId="12E01FA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 sistema (autovalutazione e miglioramento); </w:t>
      </w:r>
    </w:p>
    <w:p w14:paraId="3B2A43B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educazione alla sostenibilità.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E620" w14:textId="77777777" w:rsidR="0076364D" w:rsidRDefault="0076364D" w:rsidP="002D7D6C">
      <w:pPr>
        <w:spacing w:after="0" w:line="240" w:lineRule="auto"/>
      </w:pPr>
      <w:r>
        <w:separator/>
      </w:r>
    </w:p>
  </w:endnote>
  <w:endnote w:type="continuationSeparator" w:id="0">
    <w:p w14:paraId="211228CA" w14:textId="77777777" w:rsidR="0076364D" w:rsidRDefault="0076364D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87B6" w14:textId="77777777" w:rsidR="0076364D" w:rsidRDefault="0076364D" w:rsidP="002D7D6C">
      <w:pPr>
        <w:spacing w:after="0" w:line="240" w:lineRule="auto"/>
      </w:pPr>
      <w:r>
        <w:separator/>
      </w:r>
    </w:p>
  </w:footnote>
  <w:footnote w:type="continuationSeparator" w:id="0">
    <w:p w14:paraId="18206D65" w14:textId="77777777" w:rsidR="0076364D" w:rsidRDefault="0076364D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6E6875B3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1932563">
    <w:abstractNumId w:val="7"/>
  </w:num>
  <w:num w:numId="2" w16cid:durableId="1489786302">
    <w:abstractNumId w:val="19"/>
  </w:num>
  <w:num w:numId="3" w16cid:durableId="923757433">
    <w:abstractNumId w:val="9"/>
  </w:num>
  <w:num w:numId="4" w16cid:durableId="512720292">
    <w:abstractNumId w:val="1"/>
  </w:num>
  <w:num w:numId="5" w16cid:durableId="1370689692">
    <w:abstractNumId w:val="18"/>
  </w:num>
  <w:num w:numId="6" w16cid:durableId="1949391435">
    <w:abstractNumId w:val="8"/>
  </w:num>
  <w:num w:numId="7" w16cid:durableId="1683899361">
    <w:abstractNumId w:val="13"/>
  </w:num>
  <w:num w:numId="8" w16cid:durableId="120081049">
    <w:abstractNumId w:val="11"/>
  </w:num>
  <w:num w:numId="9" w16cid:durableId="1834370999">
    <w:abstractNumId w:val="17"/>
  </w:num>
  <w:num w:numId="10" w16cid:durableId="427311967">
    <w:abstractNumId w:val="6"/>
  </w:num>
  <w:num w:numId="11" w16cid:durableId="2146467456">
    <w:abstractNumId w:val="3"/>
  </w:num>
  <w:num w:numId="12" w16cid:durableId="1099986037">
    <w:abstractNumId w:val="4"/>
  </w:num>
  <w:num w:numId="13" w16cid:durableId="171260615">
    <w:abstractNumId w:val="16"/>
  </w:num>
  <w:num w:numId="14" w16cid:durableId="1739589410">
    <w:abstractNumId w:val="10"/>
  </w:num>
  <w:num w:numId="15" w16cid:durableId="600724632">
    <w:abstractNumId w:val="2"/>
  </w:num>
  <w:num w:numId="16" w16cid:durableId="2125227308">
    <w:abstractNumId w:val="14"/>
  </w:num>
  <w:num w:numId="17" w16cid:durableId="1760054068">
    <w:abstractNumId w:val="5"/>
  </w:num>
  <w:num w:numId="18" w16cid:durableId="330106567">
    <w:abstractNumId w:val="0"/>
  </w:num>
  <w:num w:numId="19" w16cid:durableId="1759017297">
    <w:abstractNumId w:val="12"/>
  </w:num>
  <w:num w:numId="20" w16cid:durableId="555749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06B20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86FB5"/>
    <w:rsid w:val="0059623A"/>
    <w:rsid w:val="005B0089"/>
    <w:rsid w:val="005D60B4"/>
    <w:rsid w:val="00602797"/>
    <w:rsid w:val="00665FE2"/>
    <w:rsid w:val="006776C1"/>
    <w:rsid w:val="006940F5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DC320F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cp:lastPrinted>2020-02-05T10:35:00Z</cp:lastPrinted>
  <dcterms:created xsi:type="dcterms:W3CDTF">2024-01-25T07:24:00Z</dcterms:created>
  <dcterms:modified xsi:type="dcterms:W3CDTF">2024-01-25T07:24:00Z</dcterms:modified>
</cp:coreProperties>
</file>